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685548" w14:textId="5FAF15EC" w:rsidR="00421C98" w:rsidRDefault="00421C98" w:rsidP="004F1522">
      <w:pPr>
        <w:rPr>
          <w:rFonts w:ascii="Times New Roman" w:hAnsi="Times New Roman" w:cs="Times New Roman"/>
          <w:b/>
          <w:bCs/>
          <w:sz w:val="28"/>
          <w:szCs w:val="28"/>
        </w:rPr>
      </w:pPr>
      <w:r>
        <w:rPr>
          <w:noProof/>
        </w:rPr>
        <w:drawing>
          <wp:inline distT="0" distB="0" distL="0" distR="0" wp14:anchorId="26844C60" wp14:editId="6B66BEB5">
            <wp:extent cx="4857750" cy="431482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857750" cy="4314825"/>
                    </a:xfrm>
                    <a:prstGeom prst="rect">
                      <a:avLst/>
                    </a:prstGeom>
                    <a:noFill/>
                    <a:ln>
                      <a:noFill/>
                    </a:ln>
                  </pic:spPr>
                </pic:pic>
              </a:graphicData>
            </a:graphic>
          </wp:inline>
        </w:drawing>
      </w:r>
    </w:p>
    <w:p w14:paraId="28E76A6F" w14:textId="19696BEA" w:rsidR="004F1522" w:rsidRPr="004F1522" w:rsidRDefault="0029215D" w:rsidP="004F1522">
      <w:pPr>
        <w:rPr>
          <w:rFonts w:ascii="Times New Roman" w:hAnsi="Times New Roman" w:cs="Times New Roman"/>
          <w:b/>
          <w:bCs/>
          <w:sz w:val="28"/>
          <w:szCs w:val="28"/>
        </w:rPr>
      </w:pPr>
      <w:r w:rsidRPr="0029215D">
        <w:rPr>
          <w:rFonts w:ascii="Times New Roman" w:hAnsi="Times New Roman" w:cs="Times New Roman"/>
          <w:b/>
          <w:bCs/>
          <w:sz w:val="28"/>
          <w:szCs w:val="28"/>
        </w:rPr>
        <w:t>Supplementary</w:t>
      </w:r>
      <w:r>
        <w:rPr>
          <w:rFonts w:ascii="Times New Roman" w:hAnsi="Times New Roman" w:cs="Times New Roman" w:hint="eastAsia"/>
          <w:b/>
          <w:bCs/>
          <w:sz w:val="28"/>
          <w:szCs w:val="28"/>
        </w:rPr>
        <w:t xml:space="preserve"> </w:t>
      </w:r>
      <w:r w:rsidR="004F1522" w:rsidRPr="004F1522">
        <w:rPr>
          <w:rFonts w:ascii="Times New Roman" w:hAnsi="Times New Roman" w:cs="Times New Roman"/>
          <w:b/>
          <w:bCs/>
          <w:sz w:val="28"/>
          <w:szCs w:val="28"/>
        </w:rPr>
        <w:t>Fig.</w:t>
      </w:r>
      <w:r>
        <w:rPr>
          <w:rFonts w:ascii="Times New Roman" w:hAnsi="Times New Roman" w:cs="Times New Roman" w:hint="eastAsia"/>
          <w:b/>
          <w:bCs/>
          <w:sz w:val="28"/>
          <w:szCs w:val="28"/>
        </w:rPr>
        <w:t xml:space="preserve"> </w:t>
      </w:r>
      <w:r w:rsidR="004F1522" w:rsidRPr="004F1522">
        <w:rPr>
          <w:rFonts w:ascii="Times New Roman" w:hAnsi="Times New Roman" w:cs="Times New Roman"/>
          <w:b/>
          <w:bCs/>
          <w:sz w:val="28"/>
          <w:szCs w:val="28"/>
        </w:rPr>
        <w:t>1 | Regional differences in PerAF values between patient groups at different stages of recovery.</w:t>
      </w:r>
    </w:p>
    <w:p w14:paraId="50EAFDCA" w14:textId="77777777" w:rsidR="004F1522" w:rsidRPr="004F1522" w:rsidRDefault="004F1522" w:rsidP="0011525C">
      <w:pPr>
        <w:rPr>
          <w:rFonts w:ascii="Times New Roman" w:hAnsi="Times New Roman" w:cs="Times New Roman"/>
          <w:sz w:val="28"/>
          <w:szCs w:val="28"/>
        </w:rPr>
      </w:pPr>
      <w:r w:rsidRPr="004F1522">
        <w:rPr>
          <w:rFonts w:ascii="Times New Roman" w:hAnsi="Times New Roman" w:cs="Times New Roman"/>
          <w:sz w:val="28"/>
          <w:szCs w:val="28"/>
        </w:rPr>
        <w:t>Note: Comparisons were performed among the acute stage (Day 1–7), early convalescent stage (Day 30), and mid-convalescent stage (Day 90). Significant differences in PerAF were observed in the following regions: left dorsolateral superior frontal gyrus (</w:t>
      </w:r>
      <w:proofErr w:type="spellStart"/>
      <w:r w:rsidRPr="004F1522">
        <w:rPr>
          <w:rFonts w:ascii="Times New Roman" w:hAnsi="Times New Roman" w:cs="Times New Roman"/>
          <w:sz w:val="28"/>
          <w:szCs w:val="28"/>
        </w:rPr>
        <w:t>SFGdor.L</w:t>
      </w:r>
      <w:proofErr w:type="spellEnd"/>
      <w:r w:rsidRPr="004F1522">
        <w:rPr>
          <w:rFonts w:ascii="Times New Roman" w:hAnsi="Times New Roman" w:cs="Times New Roman"/>
          <w:sz w:val="28"/>
          <w:szCs w:val="28"/>
        </w:rPr>
        <w:t>), right superior parietal gyrus (SPG.R), right supplementary motor area (SMA.R), left cerebellum Crus1 (lCbeCru1), left cerebellum lobules 4–5 (lCbe4–5), left precentral gyrus (</w:t>
      </w:r>
      <w:proofErr w:type="spellStart"/>
      <w:r w:rsidRPr="004F1522">
        <w:rPr>
          <w:rFonts w:ascii="Times New Roman" w:hAnsi="Times New Roman" w:cs="Times New Roman"/>
          <w:sz w:val="28"/>
          <w:szCs w:val="28"/>
        </w:rPr>
        <w:t>PreCG.L</w:t>
      </w:r>
      <w:proofErr w:type="spellEnd"/>
      <w:r w:rsidRPr="004F1522">
        <w:rPr>
          <w:rFonts w:ascii="Times New Roman" w:hAnsi="Times New Roman" w:cs="Times New Roman"/>
          <w:sz w:val="28"/>
          <w:szCs w:val="28"/>
        </w:rPr>
        <w:t>), vermis 4–5 (Ver4_5), and left precuneus (PCUN.L). The color bar represents the T-value scale.</w:t>
      </w:r>
    </w:p>
    <w:p w14:paraId="62170393" w14:textId="77777777" w:rsidR="004F1522" w:rsidRPr="004F1522" w:rsidRDefault="004F1522" w:rsidP="004F1522">
      <w:pPr>
        <w:rPr>
          <w:rFonts w:ascii="Times New Roman" w:hAnsi="Times New Roman" w:cs="Times New Roman"/>
          <w:sz w:val="28"/>
          <w:szCs w:val="28"/>
        </w:rPr>
      </w:pPr>
    </w:p>
    <w:p w14:paraId="31509682" w14:textId="5FA75C31" w:rsidR="00421C98" w:rsidRDefault="00421C98" w:rsidP="004F1522">
      <w:pPr>
        <w:rPr>
          <w:rFonts w:ascii="Times New Roman" w:hAnsi="Times New Roman" w:cs="Times New Roman"/>
          <w:b/>
          <w:bCs/>
          <w:sz w:val="28"/>
          <w:szCs w:val="28"/>
        </w:rPr>
      </w:pPr>
      <w:r>
        <w:rPr>
          <w:noProof/>
        </w:rPr>
        <w:lastRenderedPageBreak/>
        <w:drawing>
          <wp:inline distT="0" distB="0" distL="0" distR="0" wp14:anchorId="2C212EC4" wp14:editId="0B1EFF0A">
            <wp:extent cx="5274310" cy="2632796"/>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74310" cy="2632796"/>
                    </a:xfrm>
                    <a:prstGeom prst="rect">
                      <a:avLst/>
                    </a:prstGeom>
                    <a:noFill/>
                    <a:ln>
                      <a:noFill/>
                    </a:ln>
                  </pic:spPr>
                </pic:pic>
              </a:graphicData>
            </a:graphic>
          </wp:inline>
        </w:drawing>
      </w:r>
    </w:p>
    <w:p w14:paraId="27F10C66" w14:textId="03DB1D13" w:rsidR="004F1522" w:rsidRPr="004F1522" w:rsidRDefault="0029215D" w:rsidP="004F1522">
      <w:pPr>
        <w:rPr>
          <w:rFonts w:ascii="Times New Roman" w:hAnsi="Times New Roman" w:cs="Times New Roman"/>
          <w:b/>
          <w:bCs/>
          <w:sz w:val="28"/>
          <w:szCs w:val="28"/>
        </w:rPr>
      </w:pPr>
      <w:r w:rsidRPr="0029215D">
        <w:rPr>
          <w:rFonts w:ascii="Times New Roman" w:hAnsi="Times New Roman" w:cs="Times New Roman"/>
          <w:b/>
          <w:bCs/>
          <w:sz w:val="28"/>
          <w:szCs w:val="28"/>
        </w:rPr>
        <w:t>Supplementary</w:t>
      </w:r>
      <w:r>
        <w:rPr>
          <w:rFonts w:ascii="Times New Roman" w:hAnsi="Times New Roman" w:cs="Times New Roman" w:hint="eastAsia"/>
          <w:b/>
          <w:bCs/>
          <w:sz w:val="28"/>
          <w:szCs w:val="28"/>
        </w:rPr>
        <w:t xml:space="preserve"> </w:t>
      </w:r>
      <w:r w:rsidR="004F1522" w:rsidRPr="004F1522">
        <w:rPr>
          <w:rFonts w:ascii="Times New Roman" w:hAnsi="Times New Roman" w:cs="Times New Roman"/>
          <w:b/>
          <w:bCs/>
          <w:sz w:val="28"/>
          <w:szCs w:val="28"/>
        </w:rPr>
        <w:t>Fig.</w:t>
      </w:r>
      <w:r>
        <w:rPr>
          <w:rFonts w:ascii="Times New Roman" w:hAnsi="Times New Roman" w:cs="Times New Roman" w:hint="eastAsia"/>
          <w:b/>
          <w:bCs/>
          <w:sz w:val="28"/>
          <w:szCs w:val="28"/>
        </w:rPr>
        <w:t xml:space="preserve"> </w:t>
      </w:r>
      <w:r w:rsidR="004F1522" w:rsidRPr="004F1522">
        <w:rPr>
          <w:rFonts w:ascii="Times New Roman" w:hAnsi="Times New Roman" w:cs="Times New Roman"/>
          <w:b/>
          <w:bCs/>
          <w:sz w:val="28"/>
          <w:szCs w:val="28"/>
        </w:rPr>
        <w:t>2 | Correlation between PerAF in the left precentral gyrus and clinical scores at the mid-convalescent stage.</w:t>
      </w:r>
    </w:p>
    <w:p w14:paraId="65757168" w14:textId="77777777" w:rsidR="004F1522" w:rsidRPr="004F1522" w:rsidRDefault="004F1522" w:rsidP="0011525C">
      <w:pPr>
        <w:rPr>
          <w:rFonts w:ascii="Times New Roman" w:hAnsi="Times New Roman" w:cs="Times New Roman"/>
          <w:sz w:val="28"/>
          <w:szCs w:val="28"/>
        </w:rPr>
      </w:pPr>
      <w:r w:rsidRPr="004F1522">
        <w:rPr>
          <w:rFonts w:ascii="Times New Roman" w:hAnsi="Times New Roman" w:cs="Times New Roman"/>
          <w:sz w:val="28"/>
          <w:szCs w:val="28"/>
        </w:rPr>
        <w:t xml:space="preserve">In patients at Day 90 post-injury, PerAF values in the left </w:t>
      </w:r>
      <w:proofErr w:type="spellStart"/>
      <w:r w:rsidRPr="004F1522">
        <w:rPr>
          <w:rFonts w:ascii="Times New Roman" w:hAnsi="Times New Roman" w:cs="Times New Roman"/>
          <w:sz w:val="28"/>
          <w:szCs w:val="28"/>
        </w:rPr>
        <w:t>PreCG</w:t>
      </w:r>
      <w:proofErr w:type="spellEnd"/>
      <w:r w:rsidRPr="004F1522">
        <w:rPr>
          <w:rFonts w:ascii="Times New Roman" w:hAnsi="Times New Roman" w:cs="Times New Roman"/>
          <w:sz w:val="28"/>
          <w:szCs w:val="28"/>
        </w:rPr>
        <w:t xml:space="preserve"> showed a significant negative correlation with both lower limb Fugl-Meyer Assessment (FMA) scores and the Barthel Index (BI) (r = –0.474, p = 0.010).</w:t>
      </w:r>
    </w:p>
    <w:p w14:paraId="658C8024" w14:textId="4C3ACA50" w:rsidR="004F1522" w:rsidRPr="004F1522" w:rsidRDefault="00421C98" w:rsidP="004F1522">
      <w:pPr>
        <w:rPr>
          <w:rFonts w:ascii="Times New Roman" w:hAnsi="Times New Roman" w:cs="Times New Roman"/>
          <w:sz w:val="28"/>
          <w:szCs w:val="28"/>
        </w:rPr>
      </w:pPr>
      <w:r>
        <w:rPr>
          <w:noProof/>
        </w:rPr>
        <w:drawing>
          <wp:inline distT="0" distB="0" distL="0" distR="0" wp14:anchorId="19808635" wp14:editId="4B317ACD">
            <wp:extent cx="5274310" cy="31950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74310" cy="3195015"/>
                    </a:xfrm>
                    <a:prstGeom prst="rect">
                      <a:avLst/>
                    </a:prstGeom>
                    <a:noFill/>
                    <a:ln>
                      <a:noFill/>
                    </a:ln>
                  </pic:spPr>
                </pic:pic>
              </a:graphicData>
            </a:graphic>
          </wp:inline>
        </w:drawing>
      </w:r>
    </w:p>
    <w:p w14:paraId="5A1CCB5B" w14:textId="695230A6" w:rsidR="004F1522" w:rsidRPr="004F1522" w:rsidRDefault="0029215D" w:rsidP="004F1522">
      <w:pPr>
        <w:rPr>
          <w:rFonts w:ascii="Times New Roman" w:hAnsi="Times New Roman" w:cs="Times New Roman"/>
          <w:b/>
          <w:bCs/>
          <w:sz w:val="28"/>
          <w:szCs w:val="28"/>
        </w:rPr>
      </w:pPr>
      <w:r w:rsidRPr="0029215D">
        <w:rPr>
          <w:rFonts w:ascii="Times New Roman" w:hAnsi="Times New Roman" w:cs="Times New Roman"/>
          <w:b/>
          <w:bCs/>
          <w:sz w:val="28"/>
          <w:szCs w:val="28"/>
        </w:rPr>
        <w:t>Supplementary</w:t>
      </w:r>
      <w:r>
        <w:rPr>
          <w:rFonts w:ascii="Times New Roman" w:hAnsi="Times New Roman" w:cs="Times New Roman" w:hint="eastAsia"/>
          <w:b/>
          <w:bCs/>
          <w:sz w:val="28"/>
          <w:szCs w:val="28"/>
        </w:rPr>
        <w:t xml:space="preserve"> </w:t>
      </w:r>
      <w:r w:rsidR="004F1522" w:rsidRPr="004F1522">
        <w:rPr>
          <w:rFonts w:ascii="Times New Roman" w:hAnsi="Times New Roman" w:cs="Times New Roman"/>
          <w:b/>
          <w:bCs/>
          <w:sz w:val="28"/>
          <w:szCs w:val="28"/>
        </w:rPr>
        <w:t>Fig.</w:t>
      </w:r>
      <w:r>
        <w:rPr>
          <w:rFonts w:ascii="Times New Roman" w:hAnsi="Times New Roman" w:cs="Times New Roman" w:hint="eastAsia"/>
          <w:b/>
          <w:bCs/>
          <w:sz w:val="28"/>
          <w:szCs w:val="28"/>
        </w:rPr>
        <w:t xml:space="preserve"> </w:t>
      </w:r>
      <w:r w:rsidR="004F1522" w:rsidRPr="004F1522">
        <w:rPr>
          <w:rFonts w:ascii="Times New Roman" w:hAnsi="Times New Roman" w:cs="Times New Roman"/>
          <w:b/>
          <w:bCs/>
          <w:sz w:val="28"/>
          <w:szCs w:val="28"/>
        </w:rPr>
        <w:t xml:space="preserve">3 | Regional differences in </w:t>
      </w:r>
      <w:proofErr w:type="spellStart"/>
      <w:r w:rsidR="004F1522" w:rsidRPr="004F1522">
        <w:rPr>
          <w:rFonts w:ascii="Times New Roman" w:hAnsi="Times New Roman" w:cs="Times New Roman"/>
          <w:b/>
          <w:bCs/>
          <w:sz w:val="28"/>
          <w:szCs w:val="28"/>
        </w:rPr>
        <w:t>dALFF</w:t>
      </w:r>
      <w:proofErr w:type="spellEnd"/>
      <w:r w:rsidR="004F1522" w:rsidRPr="004F1522">
        <w:rPr>
          <w:rFonts w:ascii="Times New Roman" w:hAnsi="Times New Roman" w:cs="Times New Roman"/>
          <w:b/>
          <w:bCs/>
          <w:sz w:val="28"/>
          <w:szCs w:val="28"/>
        </w:rPr>
        <w:t xml:space="preserve"> values among </w:t>
      </w:r>
      <w:r w:rsidR="004F1522" w:rsidRPr="004F1522">
        <w:rPr>
          <w:rFonts w:ascii="Times New Roman" w:hAnsi="Times New Roman" w:cs="Times New Roman"/>
          <w:b/>
          <w:bCs/>
          <w:sz w:val="28"/>
          <w:szCs w:val="28"/>
        </w:rPr>
        <w:lastRenderedPageBreak/>
        <w:t>patient groups across recovery stages.</w:t>
      </w:r>
    </w:p>
    <w:p w14:paraId="662E869E" w14:textId="1DB23994" w:rsidR="004F1522" w:rsidRPr="004F1522" w:rsidRDefault="004F1522" w:rsidP="0011525C">
      <w:pPr>
        <w:rPr>
          <w:rFonts w:ascii="Times New Roman" w:hAnsi="Times New Roman" w:cs="Times New Roman"/>
          <w:sz w:val="28"/>
          <w:szCs w:val="28"/>
        </w:rPr>
      </w:pPr>
      <w:r w:rsidRPr="004F1522">
        <w:rPr>
          <w:rFonts w:ascii="Times New Roman" w:hAnsi="Times New Roman" w:cs="Times New Roman"/>
          <w:sz w:val="28"/>
          <w:szCs w:val="28"/>
        </w:rPr>
        <w:t xml:space="preserve">Note: Groups included acute (Day 1–7), early convalescent (Day 30), and mid-convalescent (Day 90) stages. Regions showing significant </w:t>
      </w:r>
      <w:proofErr w:type="spellStart"/>
      <w:r w:rsidRPr="004F1522">
        <w:rPr>
          <w:rFonts w:ascii="Times New Roman" w:hAnsi="Times New Roman" w:cs="Times New Roman"/>
          <w:sz w:val="28"/>
          <w:szCs w:val="28"/>
        </w:rPr>
        <w:t>dALFF</w:t>
      </w:r>
      <w:proofErr w:type="spellEnd"/>
      <w:r w:rsidRPr="004F1522">
        <w:rPr>
          <w:rFonts w:ascii="Times New Roman" w:hAnsi="Times New Roman" w:cs="Times New Roman"/>
          <w:sz w:val="28"/>
          <w:szCs w:val="28"/>
        </w:rPr>
        <w:t xml:space="preserve"> differences include: right cerebellum Crus2 (rCbeCru2), right cerebellum Crus1 (rCbeCru1), left cerebellum Crus1 (lCbeCru1), left precuneus (PCUN.L), and left inferior parietal lobule (IPL.L), excluding supramarginal and angular gyri. The color bar indicates the T-value scale.</w:t>
      </w:r>
    </w:p>
    <w:p w14:paraId="33D4F9AD" w14:textId="77777777" w:rsidR="00ED0F4E" w:rsidRDefault="00ED0F4E" w:rsidP="00431D5B">
      <w:pPr>
        <w:rPr>
          <w:rFonts w:ascii="Times New Roman" w:hAnsi="Times New Roman" w:cs="Times New Roman"/>
          <w:szCs w:val="21"/>
        </w:rPr>
      </w:pPr>
    </w:p>
    <w:p w14:paraId="0D6D5941" w14:textId="26F2C952" w:rsidR="005A1982" w:rsidRPr="005A1982" w:rsidRDefault="005A1982" w:rsidP="00431D5B">
      <w:pPr>
        <w:rPr>
          <w:rFonts w:ascii="Times New Roman" w:hAnsi="Times New Roman" w:cs="Times New Roman"/>
          <w:szCs w:val="21"/>
        </w:rPr>
      </w:pPr>
    </w:p>
    <w:sectPr w:rsidR="005A1982" w:rsidRPr="005A198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240D9E" w14:textId="77777777" w:rsidR="001B05D5" w:rsidRDefault="001B05D5" w:rsidP="00CD6746">
      <w:pPr>
        <w:rPr>
          <w:rFonts w:hint="eastAsia"/>
        </w:rPr>
      </w:pPr>
      <w:r>
        <w:separator/>
      </w:r>
    </w:p>
  </w:endnote>
  <w:endnote w:type="continuationSeparator" w:id="0">
    <w:p w14:paraId="78433F59" w14:textId="77777777" w:rsidR="001B05D5" w:rsidRDefault="001B05D5" w:rsidP="00CD6746">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C6F94C" w14:textId="77777777" w:rsidR="001B05D5" w:rsidRDefault="001B05D5" w:rsidP="00CD6746">
      <w:pPr>
        <w:rPr>
          <w:rFonts w:hint="eastAsia"/>
        </w:rPr>
      </w:pPr>
      <w:r>
        <w:separator/>
      </w:r>
    </w:p>
  </w:footnote>
  <w:footnote w:type="continuationSeparator" w:id="0">
    <w:p w14:paraId="7F8F7A59" w14:textId="77777777" w:rsidR="001B05D5" w:rsidRDefault="001B05D5" w:rsidP="00CD6746">
      <w:pPr>
        <w:rPr>
          <w:rFonts w:hint="eastAsia"/>
        </w:rPr>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docVars>
    <w:docVar w:name="KY_MEDREF_DOCUID" w:val="{700FE5FE-71AF-4D93-809F-B10B9583709B}"/>
    <w:docVar w:name="KY_MEDREF_VERSION" w:val="3"/>
  </w:docVars>
  <w:rsids>
    <w:rsidRoot w:val="007240DA"/>
    <w:rsid w:val="000921B2"/>
    <w:rsid w:val="0011525C"/>
    <w:rsid w:val="001459F8"/>
    <w:rsid w:val="001B05D5"/>
    <w:rsid w:val="001B73D8"/>
    <w:rsid w:val="001C516A"/>
    <w:rsid w:val="001F64B3"/>
    <w:rsid w:val="0028488A"/>
    <w:rsid w:val="0029215D"/>
    <w:rsid w:val="002C37B8"/>
    <w:rsid w:val="002F0242"/>
    <w:rsid w:val="00342CCC"/>
    <w:rsid w:val="003B15BA"/>
    <w:rsid w:val="00421C98"/>
    <w:rsid w:val="00431D5B"/>
    <w:rsid w:val="004D7E00"/>
    <w:rsid w:val="004F1522"/>
    <w:rsid w:val="00516711"/>
    <w:rsid w:val="0053248D"/>
    <w:rsid w:val="005A1982"/>
    <w:rsid w:val="00611AE6"/>
    <w:rsid w:val="006124B2"/>
    <w:rsid w:val="00622F0D"/>
    <w:rsid w:val="0069170E"/>
    <w:rsid w:val="006A5BA5"/>
    <w:rsid w:val="006B2493"/>
    <w:rsid w:val="006F74F8"/>
    <w:rsid w:val="0071316A"/>
    <w:rsid w:val="007240DA"/>
    <w:rsid w:val="008527DF"/>
    <w:rsid w:val="008A3A99"/>
    <w:rsid w:val="00A02C4D"/>
    <w:rsid w:val="00A37C45"/>
    <w:rsid w:val="00B24964"/>
    <w:rsid w:val="00B3508C"/>
    <w:rsid w:val="00B679B9"/>
    <w:rsid w:val="00BA1CFC"/>
    <w:rsid w:val="00C16AEA"/>
    <w:rsid w:val="00C20F92"/>
    <w:rsid w:val="00C67E48"/>
    <w:rsid w:val="00C728AC"/>
    <w:rsid w:val="00CD6746"/>
    <w:rsid w:val="00D55A48"/>
    <w:rsid w:val="00DF2909"/>
    <w:rsid w:val="00DF4BA6"/>
    <w:rsid w:val="00E203E9"/>
    <w:rsid w:val="00E631ED"/>
    <w:rsid w:val="00EC3D5A"/>
    <w:rsid w:val="00ED0F4E"/>
    <w:rsid w:val="00F10B90"/>
    <w:rsid w:val="00F40D4C"/>
    <w:rsid w:val="00F81715"/>
    <w:rsid w:val="00FA23A4"/>
    <w:rsid w:val="00FD4E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F0683E4"/>
  <w15:docId w15:val="{06C91D27-5210-4ED8-867B-FD5F477A3B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D6746"/>
    <w:pPr>
      <w:tabs>
        <w:tab w:val="center" w:pos="4153"/>
        <w:tab w:val="right" w:pos="8306"/>
      </w:tabs>
      <w:snapToGrid w:val="0"/>
      <w:jc w:val="center"/>
    </w:pPr>
    <w:rPr>
      <w:sz w:val="18"/>
      <w:szCs w:val="18"/>
    </w:rPr>
  </w:style>
  <w:style w:type="character" w:customStyle="1" w:styleId="a4">
    <w:name w:val="页眉 字符"/>
    <w:basedOn w:val="a0"/>
    <w:link w:val="a3"/>
    <w:uiPriority w:val="99"/>
    <w:rsid w:val="00CD6746"/>
    <w:rPr>
      <w:sz w:val="18"/>
      <w:szCs w:val="18"/>
    </w:rPr>
  </w:style>
  <w:style w:type="paragraph" w:styleId="a5">
    <w:name w:val="footer"/>
    <w:basedOn w:val="a"/>
    <w:link w:val="a6"/>
    <w:uiPriority w:val="99"/>
    <w:unhideWhenUsed/>
    <w:rsid w:val="00CD6746"/>
    <w:pPr>
      <w:tabs>
        <w:tab w:val="center" w:pos="4153"/>
        <w:tab w:val="right" w:pos="8306"/>
      </w:tabs>
      <w:snapToGrid w:val="0"/>
      <w:jc w:val="left"/>
    </w:pPr>
    <w:rPr>
      <w:sz w:val="18"/>
      <w:szCs w:val="18"/>
    </w:rPr>
  </w:style>
  <w:style w:type="character" w:customStyle="1" w:styleId="a6">
    <w:name w:val="页脚 字符"/>
    <w:basedOn w:val="a0"/>
    <w:link w:val="a5"/>
    <w:uiPriority w:val="99"/>
    <w:rsid w:val="00CD6746"/>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tiff"/><Relationship Id="rId3" Type="http://schemas.openxmlformats.org/officeDocument/2006/relationships/webSettings" Target="webSettings.xml"/><Relationship Id="rId7" Type="http://schemas.openxmlformats.org/officeDocument/2006/relationships/image" Target="media/image2.tif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tiff"/><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60</TotalTime>
  <Pages>3</Pages>
  <Words>219</Words>
  <Characters>1317</Characters>
  <Application>Microsoft Office Word</Application>
  <DocSecurity>0</DocSecurity>
  <Lines>29</Lines>
  <Paragraphs>7</Paragraphs>
  <ScaleCrop>false</ScaleCrop>
  <Company/>
  <LinksUpToDate>false</LinksUpToDate>
  <CharactersWithSpaces>1529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茗 新</dc:creator>
  <cp:keywords/>
  <dc:description/>
  <cp:lastModifiedBy>Kyle</cp:lastModifiedBy>
  <cp:revision>16</cp:revision>
  <dcterms:created xsi:type="dcterms:W3CDTF">2023-12-05T03:24:00Z</dcterms:created>
  <dcterms:modified xsi:type="dcterms:W3CDTF">2026-04-13T08:48:00Z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2f601006-0fae-4d99-bca2-8108816277f4</vt:lpwstr>
  </property>
</Properties>
</file>